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BA" w:rsidRPr="00045F23" w:rsidRDefault="005802BA" w:rsidP="00663BE2">
      <w:pPr>
        <w:numPr>
          <w:ilvl w:val="1"/>
          <w:numId w:val="0"/>
        </w:numPr>
        <w:spacing w:before="240" w:after="160"/>
        <w:contextualSpacing/>
        <w:jc w:val="center"/>
        <w:outlineLvl w:val="1"/>
        <w:rPr>
          <w:rFonts w:ascii="Sylfaen" w:eastAsiaTheme="majorEastAsia" w:hAnsi="Sylfaen" w:cs="Sylfaen"/>
          <w:b/>
          <w:color w:val="1F4E79" w:themeColor="accent1" w:themeShade="80"/>
          <w:sz w:val="24"/>
          <w:lang w:val="fr-FR"/>
        </w:rPr>
      </w:pPr>
      <w:r w:rsidRPr="00045F23">
        <w:rPr>
          <w:rFonts w:ascii="Sylfaen" w:eastAsiaTheme="majorEastAsia" w:hAnsi="Sylfaen" w:cs="Sylfaen"/>
          <w:b/>
          <w:color w:val="1F4E79" w:themeColor="accent1" w:themeShade="80"/>
          <w:sz w:val="24"/>
          <w:lang w:val="ka-GE"/>
        </w:rPr>
        <w:t>2023 წლის</w:t>
      </w:r>
      <w:r w:rsidR="00663BE2" w:rsidRPr="00045F23">
        <w:rPr>
          <w:rFonts w:ascii="Sylfaen" w:eastAsiaTheme="majorEastAsia" w:hAnsi="Sylfaen" w:cs="Sylfaen"/>
          <w:b/>
          <w:color w:val="1F4E79" w:themeColor="accent1" w:themeShade="80"/>
          <w:sz w:val="24"/>
        </w:rPr>
        <w:t xml:space="preserve"> </w:t>
      </w:r>
      <w:r w:rsidR="00663BE2" w:rsidRPr="00045F23">
        <w:rPr>
          <w:rFonts w:ascii="Sylfaen" w:eastAsiaTheme="majorEastAsia" w:hAnsi="Sylfaen" w:cs="Sylfaen"/>
          <w:b/>
          <w:color w:val="1F4E79" w:themeColor="accent1" w:themeShade="80"/>
          <w:sz w:val="24"/>
          <w:lang w:val="ka-GE"/>
        </w:rPr>
        <w:t>სახელმწიფო</w:t>
      </w:r>
      <w:r w:rsidRPr="00045F23">
        <w:rPr>
          <w:rFonts w:ascii="Sylfaen" w:eastAsiaTheme="majorEastAsia" w:hAnsi="Sylfaen" w:cs="Sylfaen"/>
          <w:b/>
          <w:color w:val="1F4E79" w:themeColor="accent1" w:themeShade="80"/>
          <w:sz w:val="24"/>
          <w:lang w:val="ka-GE"/>
        </w:rPr>
        <w:t xml:space="preserve"> ბიუჯეტის დოკუმენტში </w:t>
      </w:r>
      <w:r w:rsidR="000258A2" w:rsidRPr="00045F23">
        <w:rPr>
          <w:rFonts w:ascii="Sylfaen" w:eastAsiaTheme="majorEastAsia" w:hAnsi="Sylfaen" w:cs="Sylfaen"/>
          <w:b/>
          <w:color w:val="1F4E79" w:themeColor="accent1" w:themeShade="80"/>
          <w:sz w:val="24"/>
          <w:lang w:val="ka-GE"/>
        </w:rPr>
        <w:t>იდენტიფიცირებულ</w:t>
      </w:r>
      <w:r w:rsidRPr="00045F23">
        <w:rPr>
          <w:rFonts w:ascii="Sylfaen" w:eastAsiaTheme="majorEastAsia" w:hAnsi="Sylfaen" w:cs="Sylfaen"/>
          <w:b/>
          <w:color w:val="1F4E79" w:themeColor="accent1" w:themeShade="80"/>
          <w:sz w:val="24"/>
          <w:lang w:val="ka-GE"/>
        </w:rPr>
        <w:t xml:space="preserve">ი </w:t>
      </w:r>
      <w:proofErr w:type="spellStart"/>
      <w:r w:rsidRPr="00045F23">
        <w:rPr>
          <w:rFonts w:ascii="Sylfaen" w:eastAsiaTheme="majorEastAsia" w:hAnsi="Sylfaen" w:cs="Sylfaen"/>
          <w:b/>
          <w:color w:val="1F4E79" w:themeColor="accent1" w:themeShade="80"/>
          <w:sz w:val="24"/>
          <w:lang w:val="fr-FR"/>
        </w:rPr>
        <w:t>რისკების</w:t>
      </w:r>
      <w:proofErr w:type="spellEnd"/>
      <w:r w:rsidRPr="00045F23">
        <w:rPr>
          <w:rFonts w:ascii="Sylfaen" w:eastAsiaTheme="majorEastAsia" w:hAnsi="Sylfaen" w:cs="Sylfaen"/>
          <w:b/>
          <w:color w:val="1F4E79" w:themeColor="accent1" w:themeShade="80"/>
          <w:sz w:val="24"/>
          <w:lang w:val="fr-FR"/>
        </w:rPr>
        <w:t xml:space="preserve"> </w:t>
      </w:r>
      <w:proofErr w:type="spellStart"/>
      <w:r w:rsidRPr="00045F23">
        <w:rPr>
          <w:rFonts w:ascii="Sylfaen" w:eastAsiaTheme="majorEastAsia" w:hAnsi="Sylfaen" w:cs="Sylfaen"/>
          <w:b/>
          <w:color w:val="1F4E79" w:themeColor="accent1" w:themeShade="80"/>
          <w:sz w:val="24"/>
          <w:lang w:val="fr-FR"/>
        </w:rPr>
        <w:t>მატერიალიზაციის</w:t>
      </w:r>
      <w:proofErr w:type="spellEnd"/>
      <w:r w:rsidRPr="00045F23">
        <w:rPr>
          <w:rFonts w:ascii="Sylfaen" w:eastAsiaTheme="majorEastAsia" w:hAnsi="Sylfaen" w:cs="Sylfaen"/>
          <w:b/>
          <w:color w:val="1F4E79" w:themeColor="accent1" w:themeShade="80"/>
          <w:sz w:val="24"/>
          <w:lang w:val="fr-FR"/>
        </w:rPr>
        <w:t xml:space="preserve"> </w:t>
      </w:r>
      <w:proofErr w:type="spellStart"/>
      <w:r w:rsidRPr="00045F23">
        <w:rPr>
          <w:rFonts w:ascii="Sylfaen" w:eastAsiaTheme="majorEastAsia" w:hAnsi="Sylfaen" w:cs="Sylfaen"/>
          <w:b/>
          <w:color w:val="1F4E79" w:themeColor="accent1" w:themeShade="80"/>
          <w:sz w:val="24"/>
          <w:lang w:val="fr-FR"/>
        </w:rPr>
        <w:t>ანალიზი</w:t>
      </w:r>
      <w:proofErr w:type="spellEnd"/>
    </w:p>
    <w:p w:rsidR="005802BA" w:rsidRDefault="005802BA" w:rsidP="005802BA">
      <w:pPr>
        <w:spacing w:before="240" w:after="160"/>
        <w:jc w:val="both"/>
        <w:rPr>
          <w:rFonts w:ascii="Sylfaen" w:eastAsia="Calibri" w:hAnsi="Sylfaen" w:cs="Times New Roman"/>
          <w:sz w:val="20"/>
          <w:lang w:val="ka-GE"/>
        </w:rPr>
      </w:pPr>
    </w:p>
    <w:p w:rsidR="005802BA" w:rsidRPr="005802BA" w:rsidRDefault="000258A2" w:rsidP="005802BA">
      <w:pPr>
        <w:spacing w:before="240" w:after="160"/>
        <w:ind w:firstLine="360"/>
        <w:jc w:val="both"/>
        <w:rPr>
          <w:rFonts w:ascii="Sylfaen" w:eastAsia="Calibri" w:hAnsi="Sylfaen" w:cs="Times New Roman"/>
          <w:lang w:val="ka-GE"/>
        </w:rPr>
      </w:pPr>
      <w:r>
        <w:rPr>
          <w:rFonts w:ascii="Sylfaen" w:eastAsia="Calibri" w:hAnsi="Sylfaen" w:cs="Times New Roman"/>
          <w:lang w:val="ka-GE"/>
        </w:rPr>
        <w:t xml:space="preserve">აღნიშნული დოკუმენტი მოიცავს 2023 წლის ბიუჯეტის კანონზე თანდართული მაკროეკონომიკური რისკების მატერიალიზაციის ანალიზს.  </w:t>
      </w:r>
      <w:r w:rsidR="005802BA">
        <w:rPr>
          <w:rFonts w:ascii="Sylfaen" w:eastAsia="Calibri" w:hAnsi="Sylfaen" w:cs="Times New Roman"/>
          <w:lang w:val="ka-GE"/>
        </w:rPr>
        <w:t xml:space="preserve">2022 წლის დეკემბერში დამტკიცებულ </w:t>
      </w:r>
      <w:r w:rsidR="005802BA" w:rsidRPr="00E6009D">
        <w:rPr>
          <w:rFonts w:ascii="Sylfaen" w:eastAsia="Calibri" w:hAnsi="Sylfaen" w:cs="Times New Roman"/>
          <w:lang w:val="ka-GE"/>
        </w:rPr>
        <w:t xml:space="preserve">2023 წლის </w:t>
      </w:r>
      <w:r w:rsidR="005802BA">
        <w:rPr>
          <w:rFonts w:ascii="Sylfaen" w:eastAsia="Calibri" w:hAnsi="Sylfaen" w:cs="Times New Roman"/>
          <w:lang w:val="ka-GE"/>
        </w:rPr>
        <w:t xml:space="preserve">სახელმწიფო </w:t>
      </w:r>
      <w:r w:rsidR="005802BA" w:rsidRPr="00E6009D">
        <w:rPr>
          <w:rFonts w:ascii="Sylfaen" w:eastAsia="Calibri" w:hAnsi="Sylfaen" w:cs="Times New Roman"/>
          <w:lang w:val="ka-GE"/>
        </w:rPr>
        <w:t xml:space="preserve">ბიუჯეტის </w:t>
      </w:r>
      <w:r w:rsidR="005802BA">
        <w:rPr>
          <w:rFonts w:ascii="Sylfaen" w:eastAsia="Calibri" w:hAnsi="Sylfaen" w:cs="Times New Roman"/>
          <w:lang w:val="ka-GE"/>
        </w:rPr>
        <w:t>კანონზე თანდართულ</w:t>
      </w:r>
      <w:r w:rsidR="005802BA" w:rsidRPr="00E6009D">
        <w:rPr>
          <w:rFonts w:ascii="Sylfaen" w:eastAsia="Calibri" w:hAnsi="Sylfaen" w:cs="Times New Roman"/>
          <w:lang w:val="ka-GE"/>
        </w:rPr>
        <w:t xml:space="preserve"> </w:t>
      </w:r>
      <w:r w:rsidR="005802BA" w:rsidRPr="005802BA">
        <w:rPr>
          <w:rFonts w:ascii="Sylfaen" w:eastAsia="Calibri" w:hAnsi="Sylfaen" w:cs="Times New Roman"/>
          <w:lang w:val="ka-GE"/>
        </w:rPr>
        <w:t xml:space="preserve">სცენარების </w:t>
      </w:r>
      <w:r w:rsidR="005802BA">
        <w:rPr>
          <w:rFonts w:ascii="Sylfaen" w:eastAsia="Calibri" w:hAnsi="Sylfaen" w:cs="Times New Roman"/>
          <w:lang w:val="ka-GE"/>
        </w:rPr>
        <w:t xml:space="preserve">ანალიზის </w:t>
      </w:r>
      <w:r w:rsidR="005802BA" w:rsidRPr="005802BA">
        <w:rPr>
          <w:rFonts w:ascii="Sylfaen" w:eastAsia="Calibri" w:hAnsi="Sylfaen" w:cs="Times New Roman"/>
          <w:lang w:val="ka-GE"/>
        </w:rPr>
        <w:t xml:space="preserve">დოკუმენტში </w:t>
      </w:r>
      <w:r w:rsidR="005802BA">
        <w:rPr>
          <w:rFonts w:ascii="Sylfaen" w:eastAsia="Calibri" w:hAnsi="Sylfaen" w:cs="Times New Roman"/>
          <w:lang w:val="ka-GE"/>
        </w:rPr>
        <w:t>იდენტიფიცირებული</w:t>
      </w:r>
      <w:r w:rsidR="005802BA" w:rsidRPr="005802BA">
        <w:rPr>
          <w:rFonts w:ascii="Sylfaen" w:eastAsia="Calibri" w:hAnsi="Sylfaen" w:cs="Times New Roman"/>
          <w:lang w:val="ka-GE"/>
        </w:rPr>
        <w:t xml:space="preserve"> იყო შემდეგი რისკ ფაქტორები: </w:t>
      </w:r>
    </w:p>
    <w:p w:rsidR="005802BA" w:rsidRPr="005802BA"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ფულადი შემოდინების შემცირება</w:t>
      </w:r>
    </w:p>
    <w:p w:rsidR="005802BA" w:rsidRPr="005802BA"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ტურიზმის გლობალური სენტიმენტების გაუარესება</w:t>
      </w:r>
    </w:p>
    <w:p w:rsidR="005802BA" w:rsidRPr="005802BA"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გლობალური სავაჭრო ბრუნვის შემცირება</w:t>
      </w:r>
    </w:p>
    <w:p w:rsidR="005802BA" w:rsidRPr="005802BA"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რეგიონული რისკები</w:t>
      </w:r>
    </w:p>
    <w:p w:rsidR="005802BA" w:rsidRDefault="005802BA" w:rsidP="000258A2">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 xml:space="preserve">გამკაცრებული მონეტარული პოლიტიკის შენარჩუნება  </w:t>
      </w:r>
    </w:p>
    <w:p w:rsidR="000258A2" w:rsidRPr="005802BA" w:rsidRDefault="000258A2" w:rsidP="000258A2">
      <w:pPr>
        <w:pStyle w:val="ListParagraph"/>
        <w:numPr>
          <w:ilvl w:val="0"/>
          <w:numId w:val="1"/>
        </w:numPr>
        <w:spacing w:before="240" w:after="160" w:line="259" w:lineRule="auto"/>
        <w:jc w:val="both"/>
        <w:rPr>
          <w:rFonts w:ascii="Sylfaen" w:eastAsia="Calibri" w:hAnsi="Sylfaen" w:cs="Times New Roman"/>
          <w:lang w:val="ka-GE"/>
        </w:rPr>
      </w:pPr>
      <w:r w:rsidRPr="000258A2">
        <w:rPr>
          <w:rFonts w:ascii="Sylfaen" w:eastAsia="Calibri" w:hAnsi="Sylfaen" w:cs="Times New Roman"/>
          <w:lang w:val="ka-GE"/>
        </w:rPr>
        <w:t>მსოფლიოში ეკონომიკური ზრდის მოსალოდნელი შემცირება</w:t>
      </w:r>
    </w:p>
    <w:p w:rsidR="005802BA" w:rsidRDefault="000258A2" w:rsidP="000258A2">
      <w:pPr>
        <w:spacing w:before="240" w:after="160" w:line="259" w:lineRule="auto"/>
        <w:ind w:firstLine="360"/>
        <w:jc w:val="both"/>
        <w:rPr>
          <w:rFonts w:ascii="Sylfaen" w:eastAsia="Calibri" w:hAnsi="Sylfaen" w:cs="Times New Roman"/>
          <w:lang w:val="ka-GE"/>
        </w:rPr>
      </w:pPr>
      <w:r w:rsidRPr="000258A2">
        <w:rPr>
          <w:rFonts w:ascii="Sylfaen" w:eastAsia="Calibri" w:hAnsi="Sylfaen" w:cs="Times New Roman"/>
          <w:lang w:val="ka-GE"/>
        </w:rPr>
        <w:t>აღნიშნული რისკების ანალიზი აჩვნებს</w:t>
      </w:r>
      <w:r>
        <w:rPr>
          <w:rFonts w:ascii="Sylfaen" w:eastAsia="Calibri" w:hAnsi="Sylfaen" w:cs="Times New Roman"/>
          <w:lang w:val="ka-GE"/>
        </w:rPr>
        <w:t>,</w:t>
      </w:r>
      <w:r w:rsidRPr="000258A2">
        <w:rPr>
          <w:rFonts w:ascii="Sylfaen" w:eastAsia="Calibri" w:hAnsi="Sylfaen" w:cs="Times New Roman"/>
          <w:lang w:val="ka-GE"/>
        </w:rPr>
        <w:t xml:space="preserve"> რომ იდენტიფიცირებული რისკებიდან 3 არ რეალიზდა, ხოლო 3 მხოლოდ ნაწილობრივ. </w:t>
      </w:r>
      <w:r w:rsidR="00045F23">
        <w:rPr>
          <w:rFonts w:ascii="Sylfaen" w:eastAsia="Calibri" w:hAnsi="Sylfaen" w:cs="Times New Roman"/>
          <w:lang w:val="ka-GE"/>
        </w:rPr>
        <w:t xml:space="preserve">რისკები, რომლებიც არ </w:t>
      </w:r>
      <w:r w:rsidRPr="000258A2">
        <w:rPr>
          <w:rFonts w:ascii="Sylfaen" w:eastAsia="Calibri" w:hAnsi="Sylfaen" w:cs="Times New Roman"/>
          <w:lang w:val="ka-GE"/>
        </w:rPr>
        <w:t>რეალიზ</w:t>
      </w:r>
      <w:r w:rsidR="00045F23">
        <w:rPr>
          <w:rFonts w:ascii="Sylfaen" w:eastAsia="Calibri" w:hAnsi="Sylfaen" w:cs="Times New Roman"/>
          <w:lang w:val="ka-GE"/>
        </w:rPr>
        <w:t>და,</w:t>
      </w:r>
      <w:r w:rsidRPr="000258A2">
        <w:rPr>
          <w:rFonts w:ascii="Sylfaen" w:eastAsia="Calibri" w:hAnsi="Sylfaen" w:cs="Times New Roman"/>
          <w:lang w:val="ka-GE"/>
        </w:rPr>
        <w:t xml:space="preserve"> ნეგატიურის ნაცვლად პოზიტიური მიმართულებით აისახა ქვეყნის ეკონომ</w:t>
      </w:r>
      <w:r w:rsidR="00045F23">
        <w:rPr>
          <w:rFonts w:ascii="Sylfaen" w:eastAsia="Calibri" w:hAnsi="Sylfaen" w:cs="Times New Roman"/>
          <w:lang w:val="ka-GE"/>
        </w:rPr>
        <w:t>ი</w:t>
      </w:r>
      <w:r w:rsidRPr="000258A2">
        <w:rPr>
          <w:rFonts w:ascii="Sylfaen" w:eastAsia="Calibri" w:hAnsi="Sylfaen" w:cs="Times New Roman"/>
          <w:lang w:val="ka-GE"/>
        </w:rPr>
        <w:t xml:space="preserve">კურ განვითარებაზე და სხვა </w:t>
      </w:r>
      <w:r>
        <w:rPr>
          <w:rFonts w:ascii="Sylfaen" w:eastAsia="Calibri" w:hAnsi="Sylfaen" w:cs="Times New Roman"/>
          <w:lang w:val="ka-GE"/>
        </w:rPr>
        <w:t>ფაქტორებთ</w:t>
      </w:r>
      <w:r w:rsidRPr="000258A2">
        <w:rPr>
          <w:rFonts w:ascii="Sylfaen" w:eastAsia="Calibri" w:hAnsi="Sylfaen" w:cs="Times New Roman"/>
          <w:lang w:val="ka-GE"/>
        </w:rPr>
        <w:t>ან ერთ</w:t>
      </w:r>
      <w:r>
        <w:rPr>
          <w:rFonts w:ascii="Sylfaen" w:eastAsia="Calibri" w:hAnsi="Sylfaen" w:cs="Times New Roman"/>
          <w:lang w:val="ka-GE"/>
        </w:rPr>
        <w:t>ა</w:t>
      </w:r>
      <w:r w:rsidRPr="000258A2">
        <w:rPr>
          <w:rFonts w:ascii="Sylfaen" w:eastAsia="Calibri" w:hAnsi="Sylfaen" w:cs="Times New Roman"/>
          <w:lang w:val="ka-GE"/>
        </w:rPr>
        <w:t>დ განაპირობა თ</w:t>
      </w:r>
      <w:r>
        <w:rPr>
          <w:rFonts w:ascii="Sylfaen" w:eastAsia="Calibri" w:hAnsi="Sylfaen" w:cs="Times New Roman"/>
          <w:lang w:val="ka-GE"/>
        </w:rPr>
        <w:t>ა</w:t>
      </w:r>
      <w:r w:rsidRPr="000258A2">
        <w:rPr>
          <w:rFonts w:ascii="Sylfaen" w:eastAsia="Calibri" w:hAnsi="Sylfaen" w:cs="Times New Roman"/>
          <w:lang w:val="ka-GE"/>
        </w:rPr>
        <w:t xml:space="preserve">ვდაპირველი 5%-იანი ზრდის </w:t>
      </w:r>
      <w:r w:rsidR="00045F23">
        <w:rPr>
          <w:rFonts w:ascii="Sylfaen" w:eastAsia="Calibri" w:hAnsi="Sylfaen" w:cs="Times New Roman"/>
          <w:lang w:val="ka-GE"/>
        </w:rPr>
        <w:t>ნაცვლად</w:t>
      </w:r>
      <w:r w:rsidRPr="000258A2">
        <w:rPr>
          <w:rFonts w:ascii="Sylfaen" w:eastAsia="Calibri" w:hAnsi="Sylfaen" w:cs="Times New Roman"/>
          <w:lang w:val="ka-GE"/>
        </w:rPr>
        <w:t xml:space="preserve"> 7.5%-იანი ეკონომიკური ზრდის ტემპი.</w:t>
      </w:r>
    </w:p>
    <w:p w:rsidR="000258A2" w:rsidRPr="000258A2" w:rsidRDefault="000258A2" w:rsidP="000258A2">
      <w:pPr>
        <w:spacing w:before="240" w:after="160" w:line="259" w:lineRule="auto"/>
        <w:jc w:val="both"/>
        <w:rPr>
          <w:rFonts w:ascii="Sylfaen" w:eastAsia="Calibri" w:hAnsi="Sylfaen" w:cs="Times New Roman"/>
          <w:lang w:val="ka-GE"/>
        </w:rPr>
      </w:pP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ფულადი შემოდინების შემცირება</w:t>
      </w:r>
    </w:p>
    <w:p w:rsidR="005802BA" w:rsidRPr="00E6009D" w:rsidRDefault="005802BA" w:rsidP="005802BA">
      <w:pPr>
        <w:spacing w:before="240" w:after="160"/>
        <w:ind w:firstLine="360"/>
        <w:jc w:val="both"/>
        <w:rPr>
          <w:rFonts w:ascii="Sylfaen" w:eastAsia="Calibri" w:hAnsi="Sylfaen" w:cs="Times New Roman"/>
        </w:rPr>
      </w:pPr>
      <w:r w:rsidRPr="00E6009D">
        <w:rPr>
          <w:rFonts w:ascii="Sylfaen" w:eastAsia="Calibri" w:hAnsi="Sylfaen" w:cs="Times New Roman"/>
          <w:lang w:val="ka-GE"/>
        </w:rPr>
        <w:t xml:space="preserve">იქიდან გამომდინარე, რომ პანდემიის დასრულებისა და რუსეთის მიერ უკრაინაში შეჭრის შემდეგ მნიშვნელოვნად იყო გაზრდილი საქართველოში როგორც ტურიზმიდან მიღებული შემოსავალი, ასევე გადმორიცხული ფულადი თანხები, მოსალოდნელი იყო, რომ 2023 წელს ადგილი ექნებოდა აღნიშნული ფულადი შემოდინებების შემცირებას. აღსანიშნავია, რომ 2023 წელს ჩარიცხული ფულადი გზავნილების ოდენობა შემცირდა 5.7%-ით. ამასთან, შემცირება დაიწყო 2023 წლის მაისიდან და კლებაში ძირითადი წვლილი რუსეთიდან ფულადი გზავნილების კლებამ შეიტანა, როგორც მოსალოდნელი იყო. გზავნილების შემცირება დაფიქსირებულია ბელარუსიდან და ყირგიზეთიდან. თუმცა, აღსანიშნავია, რომ 2023 წელს ტურიზმიდან შემოსავლები გაიზარდა 17.3%-ით, რაც ნომინალურ გამოსახულებაში 600 მლნ აშშ დოლარს შეადგენს. შესაბამისად, მიუხედავად ფულადი გზავნილების შემცირებისა, ტურიზმიდან მიღებული შემოსავლების ზრდამ დააკომპენსირა აღნიშნული კლება და საბოლოოდ, ამ ორი არხის საშუალებით ფულადი შემოდინებების ზრდა გამოიწვია 350 მლნ აშშ დოლარით. ყოველივე აღნიშნულის გათვალისწინებით, შეგვიძლია ვთქვათ რომ ფულად </w:t>
      </w:r>
      <w:r w:rsidRPr="00E6009D">
        <w:rPr>
          <w:rFonts w:ascii="Sylfaen" w:eastAsia="Calibri" w:hAnsi="Sylfaen" w:cs="Times New Roman"/>
          <w:lang w:val="ka-GE"/>
        </w:rPr>
        <w:lastRenderedPageBreak/>
        <w:t xml:space="preserve">შემოდინებებთან დაკავშირებული რისკის მატერიალიზებას ადგილი არ ჰქონია და ფულადი შემოდინებები გაიზარდა. </w:t>
      </w: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ტურიზმის გლობალური სენტიმენტების გაუარესება</w:t>
      </w:r>
    </w:p>
    <w:p w:rsidR="005802BA" w:rsidRPr="00E6009D" w:rsidRDefault="005802BA" w:rsidP="005802BA">
      <w:pPr>
        <w:spacing w:before="240" w:after="160"/>
        <w:ind w:firstLine="360"/>
        <w:jc w:val="both"/>
        <w:rPr>
          <w:rFonts w:ascii="Sylfaen" w:eastAsia="Calibri" w:hAnsi="Sylfaen" w:cs="Times New Roman"/>
          <w:lang w:val="ka-GE"/>
        </w:rPr>
      </w:pPr>
      <w:r w:rsidRPr="00E6009D">
        <w:rPr>
          <w:rFonts w:ascii="Sylfaen" w:eastAsia="Calibri" w:hAnsi="Sylfaen" w:cs="Times New Roman"/>
          <w:lang w:val="ka-GE"/>
        </w:rPr>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მიუხედავად არსებული დადებითი ტენდენციებისა, კვლავ გამოწვევად რჩებოდა საშუალოვადიანი პერიოდისთვის ტურიზმის გაუმჯობესებასთან დაკავშირებული საკითხები. 2023 წელს ვიზიტორების რაოდენობა გაზრდილია 30.3 პროცენტით, ხოლო ამავე პერიოდში ტურიზმიდან მიღებული შემოსავალი გაზრდილია 17.3 პროცენტით (რაც 2019 წელთან შედარებით 26.2 პროცენტიან ზრდას გულისხმობს). აღსანიშნავია, რომ აღნიშნულ ზრდაში მაღალია როგორც თურქეთის (6.6 პ.პ), ასევე - ევროკავშირის (6.2 პ.პ) წვლილი. </w:t>
      </w: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გლობალური სავაჭრო ბრუნვის შემცირება</w:t>
      </w:r>
    </w:p>
    <w:p w:rsidR="005802BA" w:rsidRPr="00E6009D" w:rsidRDefault="005802BA" w:rsidP="005802BA">
      <w:pPr>
        <w:pStyle w:val="NormalWeb"/>
        <w:spacing w:line="276" w:lineRule="auto"/>
        <w:ind w:firstLine="360"/>
        <w:jc w:val="both"/>
        <w:rPr>
          <w:rFonts w:ascii="Sylfaen" w:eastAsia="Calibri" w:hAnsi="Sylfaen"/>
          <w:sz w:val="22"/>
          <w:szCs w:val="22"/>
          <w:lang w:val="ka-GE"/>
        </w:rPr>
      </w:pPr>
      <w:r w:rsidRPr="00E6009D">
        <w:rPr>
          <w:rFonts w:ascii="Sylfaen" w:eastAsia="Calibri" w:hAnsi="Sylfaen"/>
          <w:sz w:val="22"/>
          <w:szCs w:val="22"/>
          <w:lang w:val="ka-GE"/>
        </w:rPr>
        <w:t>გლობალური სავაჭრო ბრუნვის შემცირების რისკი ნაწილობრივ რეალიზდა 2023 წელს. აღსანიშნავია, რომ 2020 წელს სავაჭრო ბრუნვის შემცირების შემდეგ მისი გაუმჯობესება დაიწყო მოსალოდნელზე უფრო სწრაფი ტემპებით. თუმცა, 2023 წლის ოქტომბერში საერთაშორისო სავალუტო ფონდის მიერ გაკეთებული შეფასებით, 2023 წელს მოსალოდნელი იყო მსოფლიო საქონლის ექსპორტის უმნიშვნელოდ გაზრდა, ხოლო იმპორტის შემცირება 0.5 პროცენტით. არსებული მონაცემებით კი, 2023 წლის პირველ 3 კვარტალში საქონლის ექსპორტი შემცირებულია 5.6 პროცენტით, ხოლო იმპორტი - 6.2 პროცენტით, რაც სავაჭრო ბრუნვას ამცირებს 5.9 პროცენტით. ამასთან, აღსანიშნავია რომ 2023 წელს მსოფლიოში არსებული სავაჭრო ბრუნვის შემცირებას გავლენა არ ჰქონია საქართველოს ვაჭრობაზე და გაზრდილია საქართველოს სავაჭრო ბრუნვა: 2023 წელს საქონლის ექსპორტის ზრდა დაფიქსირდა 9.1  და 60.4   პროცენტზე, 2022 და 2019 წლებთან შედარებით, შესაბამისად. ხოლო საქონლის იმპორტი გაზრდილია 14.5 და 63.0 პროცენტით, შესაბამისად 2022 და 2019 წლებთან შედარებით. საქართველოს სავაჭრო ბრუნვა 2023 წელს წინა წელთან შედარებით 12.9 პროცენტით არის გაზრდილი. აღსანიშნავია, რომ 2023 წლისთვის მოსალოდნელი იყო საქონლის ექსპორტის 20.1 პროცენტით ზრდა, თუმცა გლობალურად ფეროშენადნობებზე მოთხოვნის შემცირების შედეგად ექსპორტი უფრო ნაკლებად, 9.1 პროცენტით არის გაზრდილი. </w:t>
      </w: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რეგიონული რისკები</w:t>
      </w:r>
    </w:p>
    <w:p w:rsidR="005802BA" w:rsidRPr="00E6009D" w:rsidRDefault="005802BA" w:rsidP="005802BA">
      <w:pPr>
        <w:spacing w:before="240" w:after="160"/>
        <w:ind w:firstLine="360"/>
        <w:jc w:val="both"/>
        <w:rPr>
          <w:rFonts w:ascii="Sylfaen" w:eastAsia="Calibri" w:hAnsi="Sylfaen" w:cs="Times New Roman"/>
          <w:lang w:val="ka-GE"/>
        </w:rPr>
      </w:pPr>
      <w:r w:rsidRPr="00E6009D">
        <w:rPr>
          <w:rFonts w:ascii="Sylfaen" w:eastAsia="Calibri" w:hAnsi="Sylfaen" w:cs="Times New Roman"/>
          <w:lang w:val="ka-GE"/>
        </w:rPr>
        <w:t xml:space="preserve">აღსანიშნავია, რომ </w:t>
      </w:r>
      <w:r w:rsidRPr="009B3A4C">
        <w:rPr>
          <w:rFonts w:ascii="Sylfaen" w:eastAsia="Calibri" w:hAnsi="Sylfaen" w:cs="Times New Roman"/>
          <w:lang w:val="ka-GE"/>
        </w:rPr>
        <w:t>202</w:t>
      </w:r>
      <w:r>
        <w:rPr>
          <w:rFonts w:ascii="Sylfaen" w:eastAsia="Calibri" w:hAnsi="Sylfaen" w:cs="Times New Roman"/>
          <w:lang w:val="ka-GE"/>
        </w:rPr>
        <w:t>3</w:t>
      </w:r>
      <w:r w:rsidRPr="009B3A4C">
        <w:rPr>
          <w:rFonts w:ascii="Sylfaen" w:eastAsia="Calibri" w:hAnsi="Sylfaen" w:cs="Times New Roman"/>
          <w:lang w:val="ka-GE"/>
        </w:rPr>
        <w:t xml:space="preserve"> წლის სახელმწიფო ბიუჯეტზე</w:t>
      </w:r>
      <w:r>
        <w:rPr>
          <w:rFonts w:ascii="Sylfaen" w:eastAsia="Calibri" w:hAnsi="Sylfaen" w:cs="Times New Roman"/>
          <w:lang w:val="ka-GE"/>
        </w:rPr>
        <w:t xml:space="preserve"> (2022</w:t>
      </w:r>
      <w:r w:rsidRPr="009B3A4C">
        <w:rPr>
          <w:rFonts w:ascii="Sylfaen" w:eastAsia="Calibri" w:hAnsi="Sylfaen" w:cs="Times New Roman"/>
          <w:lang w:val="ka-GE"/>
        </w:rPr>
        <w:t xml:space="preserve"> წლის დეკემბერი) თანდართული სცენარების ანალიზის  დოკუმენტში იდენტიფიცირებული</w:t>
      </w:r>
      <w:r w:rsidRPr="00E6009D">
        <w:rPr>
          <w:rFonts w:ascii="Sylfaen" w:eastAsia="Calibri" w:hAnsi="Sylfaen" w:cs="Times New Roman"/>
          <w:lang w:val="ka-GE"/>
        </w:rPr>
        <w:t xml:space="preserve"> რეგიონული რისკები ეხებოდა </w:t>
      </w:r>
      <w:r w:rsidRPr="00461294">
        <w:rPr>
          <w:rFonts w:ascii="Sylfaen" w:eastAsia="Calibri" w:hAnsi="Sylfaen" w:cs="Times New Roman"/>
          <w:lang w:val="ka-GE"/>
        </w:rPr>
        <w:t xml:space="preserve">როგორც ეკონომიკური, ასევე - პოლიტიკური ხასიათის რისკებს და გამომწვევ მიზეზებად სახელდებოდა როგორც ნავთობსა და ნედლეულზე ქვეყნების </w:t>
      </w:r>
      <w:r w:rsidRPr="00461294">
        <w:rPr>
          <w:rFonts w:ascii="Sylfaen" w:eastAsia="Calibri" w:hAnsi="Sylfaen" w:cs="Times New Roman"/>
          <w:lang w:val="ka-GE"/>
        </w:rPr>
        <w:lastRenderedPageBreak/>
        <w:t>დამოკიდებულება, ასევე რუსეთის უკრაინაში შეჭრის შედეგად რეგიონში არსებული  პოლიტიკური პრობლემები და არამდგრადობა. 2023 წელს შენარჩუნებულია გასულ წელს დაწყებული რეგიონული რისკები, რაც</w:t>
      </w:r>
      <w:r w:rsidRPr="00E6009D">
        <w:rPr>
          <w:rFonts w:ascii="Sylfaen" w:eastAsia="Calibri" w:hAnsi="Sylfaen" w:cs="Times New Roman"/>
          <w:lang w:val="ka-GE"/>
        </w:rPr>
        <w:t xml:space="preserve"> გულისხმობდა რუსეთის მიერ უკრაინაში შეჭრას, რამაც, თავის მხრივ, გავლენა მოახდინა მსოფლიოს ეკონომიკური განვითარების პერსპექტივებზე. როგორც 2023 წლის ბიუჯეტის კანონის თანდართულ სცენარების დოკუმენტში იყო აღნიშნული, რეგიონში არსებული ომისა და კვლავ მაღალი გაურკვევლობის გამო, მოსალოდნელი იყო ინვესტორების განწყობის გაუარესება რეგიონის ქვეყნების და მათ შორის, საქართველოს მიმართ. 2023 წელს პირდაპირი უცხოური ინვესტიციები შემცირდა 24 პროცენტით, თუმცა ეს ძირითადად გამოწვეული იყო სავალო ვალდებულებების შემცირებით. სიტუაცია შენარჩუნებულია რუსეთის მიმართ დაწესებული სანქციების მხრივ, თუმცა აღარ შეინიშნება სურსათსა და ნავთობპროდუქტებზე მსოფლიო ფასების ზრდა. შესაბამისად, რეგიონული რისკები 2023 წელს ნაწილობრივ რეალიზდა. </w:t>
      </w:r>
    </w:p>
    <w:p w:rsidR="005802BA" w:rsidRPr="000258A2" w:rsidRDefault="005802BA" w:rsidP="000258A2">
      <w:pPr>
        <w:spacing w:before="240" w:after="160" w:line="360" w:lineRule="auto"/>
        <w:jc w:val="both"/>
        <w:rPr>
          <w:rFonts w:ascii="Sylfaen" w:eastAsia="Calibri" w:hAnsi="Sylfaen" w:cs="Times New Roman"/>
          <w:b/>
          <w:lang w:val="ka-GE"/>
        </w:rPr>
      </w:pPr>
      <w:r w:rsidRPr="000258A2">
        <w:rPr>
          <w:rFonts w:ascii="Sylfaen" w:eastAsia="Calibri" w:hAnsi="Sylfaen" w:cs="Times New Roman"/>
          <w:b/>
          <w:lang w:val="ka-GE"/>
        </w:rPr>
        <w:t xml:space="preserve">გამკაცრებული მონეტარული პოლიტიკის შენარჩუნება  </w:t>
      </w:r>
    </w:p>
    <w:p w:rsidR="005802BA" w:rsidRDefault="005802BA" w:rsidP="005802BA">
      <w:pPr>
        <w:spacing w:after="0"/>
        <w:ind w:firstLine="360"/>
        <w:jc w:val="both"/>
        <w:rPr>
          <w:rFonts w:ascii="Sylfaen" w:eastAsia="Calibri" w:hAnsi="Sylfaen" w:cs="Times New Roman"/>
          <w:lang w:val="ka-GE"/>
        </w:rPr>
      </w:pPr>
      <w:r w:rsidRPr="00E6009D">
        <w:rPr>
          <w:rFonts w:ascii="Sylfaen" w:eastAsia="Calibri" w:hAnsi="Sylfaen" w:cs="Times New Roman"/>
          <w:lang w:val="ka-GE"/>
        </w:rPr>
        <w:t xml:space="preserve">აღსანიშნავია, რომ გამკაცრებული მონეტარული პოლიტიკის შენარჩუნების რისკი გამოწვეული იყო რუსეთ-უკრაინის ომისა და რუსეთის ფედერაციის წინააღმდეგ დაწესებული სანქციების შედეგად გაზრდილი ნავთობისა და სურსათის ფასებით, რასაც თან დაერთო მიწოდების ჯაჭვის შეფერხება, ვინაიდან რუსეთი და უკრაინა სასოფლო-სამეურნეო საქონლის ძირითად მიმწოდებლებს წარმოადგენენ და არსებულმა კონფლიქტმა შეაფერხა როგორც ნედლი ნავთობის, ასევე  ბუნებრივი აირისა და საკვების მიწოდება და საბოლოოდ გაიზარდა მსოფლიო ინფლაცია. როგორც 2023 წლის ბიუჯეტის კანონის თანდართულ სცენარების დოკუმენტში იყო აღნიშნული, ბოლო პერიოდში ინფლაციის დასტაბილურებისა და შემცირების მიუხედავად, უკრაიანში მიმდინარე კონფლიქტის ფონზე მოსალოდნელი იყო, რომ ინფლაციურ ზეწოლას კვლავ ეჩინა თავი საშუალოვადიან პერიოდში. </w:t>
      </w:r>
    </w:p>
    <w:p w:rsidR="005802BA" w:rsidRDefault="005802BA" w:rsidP="005802BA">
      <w:pPr>
        <w:spacing w:before="240" w:after="160"/>
        <w:ind w:firstLine="360"/>
        <w:jc w:val="both"/>
        <w:rPr>
          <w:rFonts w:ascii="Sylfaen" w:eastAsia="Calibri" w:hAnsi="Sylfaen" w:cs="Times New Roman"/>
          <w:color w:val="000000"/>
          <w:lang w:val="ka-GE"/>
        </w:rPr>
      </w:pPr>
      <w:r w:rsidRPr="00E6009D">
        <w:rPr>
          <w:rFonts w:ascii="Sylfaen" w:eastAsia="Calibri" w:hAnsi="Sylfaen" w:cs="Times New Roman"/>
          <w:color w:val="000000"/>
          <w:lang w:val="ka-GE"/>
        </w:rPr>
        <w:t xml:space="preserve">გამკაცრებული მონეტარული პოლიტიკის შენარჩუნების რისკი კვლავ მატერიალიზდა 2023 წელს. აღნიშნული გამომდინარეობს იქიდან, რომ ქვეყნებმა ინფლაციის მაღალი დონის დიდი ხნით შენარჩუნების გამო დაიწყეს გამკაცრებული მონეტარული პოლიტიკის შენარჩუნება ან მეტად გამკაცრება. მათ შორის, ინგლისის ბანკის მიხედვით, დეკემბრის ბოლოს საპროცენტო განაკვეთი </w:t>
      </w:r>
      <w:r w:rsidRPr="00E6009D">
        <w:rPr>
          <w:rFonts w:ascii="Sylfaen" w:eastAsia="Calibri" w:hAnsi="Sylfaen" w:cs="Times New Roman"/>
          <w:color w:val="000000"/>
        </w:rPr>
        <w:t>5.</w:t>
      </w:r>
      <w:r w:rsidRPr="00E6009D">
        <w:rPr>
          <w:rFonts w:ascii="Sylfaen" w:eastAsia="Calibri" w:hAnsi="Sylfaen" w:cs="Times New Roman"/>
          <w:color w:val="000000"/>
          <w:lang w:val="ka-GE"/>
        </w:rPr>
        <w:t xml:space="preserve">25 პროცენტზეა შენარჩუნებული, რაც 2022 წლის მაჩვენებელზე მაღალია. ევროპის ცენტრალური ბანკის საპროცენტო განაკვეთი </w:t>
      </w:r>
      <w:r w:rsidRPr="00E6009D">
        <w:rPr>
          <w:rFonts w:ascii="Sylfaen" w:eastAsia="Calibri" w:hAnsi="Sylfaen" w:cs="Times New Roman"/>
          <w:color w:val="000000"/>
        </w:rPr>
        <w:t>4.</w:t>
      </w:r>
      <w:r w:rsidRPr="00E6009D">
        <w:rPr>
          <w:rFonts w:ascii="Sylfaen" w:eastAsia="Calibri" w:hAnsi="Sylfaen" w:cs="Times New Roman"/>
          <w:color w:val="000000"/>
          <w:lang w:val="ka-GE"/>
        </w:rPr>
        <w:t>5</w:t>
      </w:r>
      <w:r w:rsidRPr="00E6009D">
        <w:rPr>
          <w:rFonts w:ascii="Sylfaen" w:eastAsia="Calibri" w:hAnsi="Sylfaen" w:cs="Times New Roman"/>
          <w:color w:val="000000"/>
        </w:rPr>
        <w:t>0</w:t>
      </w:r>
      <w:r w:rsidRPr="00E6009D">
        <w:rPr>
          <w:rFonts w:ascii="Sylfaen" w:eastAsia="Calibri" w:hAnsi="Sylfaen" w:cs="Times New Roman"/>
          <w:color w:val="000000"/>
          <w:lang w:val="ka-GE"/>
        </w:rPr>
        <w:t xml:space="preserve"> პროცენტია. რაც შეეხება აშშ-ს, ცენტრალურმა ბანკმა საპროცენტო განაკვეთი</w:t>
      </w:r>
      <w:r w:rsidRPr="00E6009D">
        <w:rPr>
          <w:rFonts w:ascii="Sylfaen" w:eastAsia="Calibri" w:hAnsi="Sylfaen" w:cs="Times New Roman"/>
          <w:color w:val="000000"/>
        </w:rPr>
        <w:t xml:space="preserve"> </w:t>
      </w:r>
      <w:r w:rsidRPr="00E6009D">
        <w:rPr>
          <w:rFonts w:ascii="Sylfaen" w:eastAsia="Calibri" w:hAnsi="Sylfaen" w:cs="Times New Roman"/>
          <w:color w:val="000000"/>
          <w:lang w:val="ka-GE"/>
        </w:rPr>
        <w:t xml:space="preserve">კვლავ გაზარდა 2023 წელს და 2022 წლის დეკემბრის ბოლოს დაფიქსირებული 4.5 პროცენტიდან 2023 წლის ბოლოსთვის საპროცენტო განაკვეთები გაზრდილია </w:t>
      </w:r>
      <w:r w:rsidRPr="00E6009D">
        <w:rPr>
          <w:rFonts w:ascii="Sylfaen" w:eastAsia="Calibri" w:hAnsi="Sylfaen" w:cs="Times New Roman"/>
          <w:color w:val="000000"/>
        </w:rPr>
        <w:t>5.25</w:t>
      </w:r>
      <w:r w:rsidRPr="00E6009D">
        <w:rPr>
          <w:rFonts w:ascii="Sylfaen" w:eastAsia="Calibri" w:hAnsi="Sylfaen" w:cs="Times New Roman"/>
          <w:color w:val="000000"/>
          <w:lang w:val="ka-GE"/>
        </w:rPr>
        <w:t>-5.50 პროცენტამდე</w:t>
      </w:r>
      <w:r>
        <w:rPr>
          <w:rFonts w:ascii="Sylfaen" w:eastAsia="Calibri" w:hAnsi="Sylfaen" w:cs="Times New Roman"/>
          <w:color w:val="000000"/>
          <w:lang w:val="ka-GE"/>
        </w:rPr>
        <w:t>.</w:t>
      </w:r>
    </w:p>
    <w:p w:rsidR="005802BA" w:rsidRPr="00E6009D" w:rsidRDefault="005802BA" w:rsidP="005802BA">
      <w:pPr>
        <w:spacing w:before="240" w:after="160"/>
        <w:ind w:firstLine="360"/>
        <w:jc w:val="both"/>
        <w:rPr>
          <w:rFonts w:ascii="Sylfaen" w:eastAsia="Calibri" w:hAnsi="Sylfaen" w:cs="Times New Roman"/>
          <w:lang w:val="ka-GE"/>
        </w:rPr>
      </w:pPr>
      <w:r w:rsidRPr="00E6009D">
        <w:rPr>
          <w:rFonts w:ascii="Sylfaen" w:eastAsia="Calibri" w:hAnsi="Sylfaen" w:cs="Times New Roman"/>
          <w:color w:val="000000"/>
          <w:lang w:val="ka-GE"/>
        </w:rPr>
        <w:t xml:space="preserve">ამასთან, აღსანიშნავია, რომ საქართველოში ადგილი არ ჰქონია გამკაცრებული მონეტარული პოლიტიკის შენარჩუნებას და პირიქით, ეროვნულმა ბანკმა დაიწყო პოლიტიკის შერბილება, რის შედეგადაც რეფინანსირების განაკვეთი 2023 წლის განმავლობაში შემცირდა 11-დან 9.5 პროცენტამდე. </w:t>
      </w: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lastRenderedPageBreak/>
        <w:t xml:space="preserve">მსოფლიოში ეკონომიკური ზრდის მოსალოდნელი შემცირება </w:t>
      </w:r>
    </w:p>
    <w:p w:rsidR="005802BA" w:rsidRDefault="005802BA" w:rsidP="005802BA">
      <w:pPr>
        <w:spacing w:before="240" w:after="160"/>
        <w:ind w:firstLine="360"/>
        <w:jc w:val="both"/>
        <w:rPr>
          <w:rFonts w:ascii="Sylfaen" w:eastAsia="Calibri" w:hAnsi="Sylfaen" w:cs="Times New Roman"/>
          <w:lang w:val="ka-GE"/>
        </w:rPr>
      </w:pPr>
      <w:r w:rsidRPr="00E6009D">
        <w:rPr>
          <w:rFonts w:ascii="Sylfaen" w:eastAsia="Calibri" w:hAnsi="Sylfaen" w:cs="Times New Roman"/>
          <w:lang w:val="ka-GE"/>
        </w:rPr>
        <w:t xml:space="preserve">როგორც რისკების ანალიზში იყო </w:t>
      </w:r>
      <w:r>
        <w:rPr>
          <w:rFonts w:ascii="Sylfaen" w:eastAsia="Calibri" w:hAnsi="Sylfaen" w:cs="Times New Roman"/>
          <w:lang w:val="ka-GE"/>
        </w:rPr>
        <w:t>ნავარაუდევ</w:t>
      </w:r>
      <w:r w:rsidRPr="00E6009D">
        <w:rPr>
          <w:rFonts w:ascii="Sylfaen" w:eastAsia="Calibri" w:hAnsi="Sylfaen" w:cs="Times New Roman"/>
          <w:lang w:val="ka-GE"/>
        </w:rPr>
        <w:t>ი, 2023 წელს ნაკლებად იყო მოსალოდნელი მსოფლიოში ეკონომიკის გაუმჯობესება საშუალოვადიან პერიოდში, როგორც პანდემიის შედეგების გამო, ასევე - რუსეთის მიერ უკრაინაში შეჭრიდან და რუსეთის მიმართ დაწესებული სანქციებიდან გამომდინარე. მსოფლიოში ეკონომიკური ზრდის მოსალოდნელი შემცირების რისკის რეალიზება დაკავშირებული იყო როგორც მოთხოვნის შემცირებასთან, ასევე მიწოდების უარყოფით შოკთან, რასაც შესაძლოა კვლავ გამოეწვია როგორც ფასების ზრდა, ასევე ეკონომიკური აქტივობის შემცირება. ამასთან, გასულ წელს საკვებსა და ენერგოპროდუქტებზე ფასების მკვეთრი ზრდის შემდეგ 2023 წელს დაიწყო მისი შემცირებაც, რასაც წინ უძღვოდა ცენტრალური ბანკების მიერ საპროცენტო განაკვეთის ზრდა. აღსანიშნავია, რომ მიუხედავად ზოგიერთ ქვეყანაში გაუარესებული ეკონომიკური მდგომარეობისა, ეკონომიკური ზრდის მოსალოდნელი შემცირების რისკი არ რეალიზდა 2023 წელს და ძირითადად დაფიქსირდა ეკონომიკური ზრდა. ამასთან, 2022 წლის ბოლოს მსოფლიოში მოსალოდნელი 2.7 პროცენტიანი ეკონომიკური ზრდის ნაცვლად 2023 წელს დაფიქსირდა 3.1 პროცენტიანი ზრდა (პროგნოზირებულზე მაღალი ზრდა დაფიქსირდა როგორც განვითარებულ, ასევე - განვითარებად ქვეყნებში), რაც გაუმჯობესებულ ეკ</w:t>
      </w:r>
      <w:bookmarkStart w:id="0" w:name="_GoBack"/>
      <w:bookmarkEnd w:id="0"/>
      <w:r w:rsidRPr="00E6009D">
        <w:rPr>
          <w:rFonts w:ascii="Sylfaen" w:eastAsia="Calibri" w:hAnsi="Sylfaen" w:cs="Times New Roman"/>
          <w:lang w:val="ka-GE"/>
        </w:rPr>
        <w:t>ონომიკურ აქტივობაზე მიუთითებს. რაც შეეხება საქა</w:t>
      </w:r>
      <w:r>
        <w:rPr>
          <w:rFonts w:ascii="Sylfaen" w:eastAsia="Calibri" w:hAnsi="Sylfaen" w:cs="Times New Roman"/>
          <w:lang w:val="ka-GE"/>
        </w:rPr>
        <w:t>რ</w:t>
      </w:r>
      <w:r w:rsidRPr="00E6009D">
        <w:rPr>
          <w:rFonts w:ascii="Sylfaen" w:eastAsia="Calibri" w:hAnsi="Sylfaen" w:cs="Times New Roman"/>
          <w:lang w:val="ka-GE"/>
        </w:rPr>
        <w:t>თველოს, წინასწარი მონაცემებით, 2023 წელს დაფიქსირდა 7.5 პროცენტიანი ეკონომიკური ზრდა, პროგნოზირებული 6.5 პროცენტის ნაცვლად, 2022 წლის ორნიშნა ეკონომიკური ზრდის შემდეგ.</w:t>
      </w:r>
    </w:p>
    <w:p w:rsidR="005802BA" w:rsidRPr="007F1CB9" w:rsidRDefault="005802BA" w:rsidP="005802BA">
      <w:pPr>
        <w:pStyle w:val="Caption1"/>
        <w:jc w:val="both"/>
        <w:rPr>
          <w:rFonts w:ascii="Sylfaen" w:eastAsia="Calibri" w:hAnsi="Sylfaen" w:cs="Times New Roman"/>
          <w:i w:val="0"/>
          <w:iCs w:val="0"/>
          <w:color w:val="auto"/>
          <w:sz w:val="22"/>
          <w:szCs w:val="22"/>
          <w:lang w:val="ka-GE"/>
        </w:rPr>
      </w:pPr>
      <w:r w:rsidRPr="007F1CB9">
        <w:rPr>
          <w:rFonts w:ascii="Sylfaen" w:eastAsia="Calibri" w:hAnsi="Sylfaen" w:cs="Times New Roman"/>
          <w:i w:val="0"/>
          <w:iCs w:val="0"/>
          <w:color w:val="auto"/>
          <w:sz w:val="22"/>
          <w:szCs w:val="22"/>
          <w:lang w:val="ka-GE"/>
        </w:rPr>
        <w:t>ცხრილში მოცემულია 202</w:t>
      </w:r>
      <w:r>
        <w:rPr>
          <w:rFonts w:ascii="Sylfaen" w:eastAsia="Calibri" w:hAnsi="Sylfaen" w:cs="Times New Roman"/>
          <w:i w:val="0"/>
          <w:iCs w:val="0"/>
          <w:color w:val="auto"/>
          <w:sz w:val="22"/>
          <w:szCs w:val="22"/>
          <w:lang w:val="ka-GE"/>
        </w:rPr>
        <w:t>3</w:t>
      </w:r>
      <w:r w:rsidRPr="007F1CB9">
        <w:rPr>
          <w:rFonts w:ascii="Sylfaen" w:eastAsia="Calibri" w:hAnsi="Sylfaen" w:cs="Times New Roman"/>
          <w:i w:val="0"/>
          <w:iCs w:val="0"/>
          <w:color w:val="auto"/>
          <w:sz w:val="22"/>
          <w:szCs w:val="22"/>
          <w:lang w:val="ka-GE"/>
        </w:rPr>
        <w:t xml:space="preserve"> წლის სახელმწიფო ბიუჯეტზე (202</w:t>
      </w:r>
      <w:r>
        <w:rPr>
          <w:rFonts w:ascii="Sylfaen" w:eastAsia="Calibri" w:hAnsi="Sylfaen" w:cs="Times New Roman"/>
          <w:i w:val="0"/>
          <w:iCs w:val="0"/>
          <w:color w:val="auto"/>
          <w:sz w:val="22"/>
          <w:szCs w:val="22"/>
          <w:lang w:val="ka-GE"/>
        </w:rPr>
        <w:t>2</w:t>
      </w:r>
      <w:r w:rsidRPr="007F1CB9">
        <w:rPr>
          <w:rFonts w:ascii="Sylfaen" w:eastAsia="Calibri" w:hAnsi="Sylfaen" w:cs="Times New Roman"/>
          <w:i w:val="0"/>
          <w:iCs w:val="0"/>
          <w:color w:val="auto"/>
          <w:sz w:val="22"/>
          <w:szCs w:val="22"/>
          <w:lang w:val="ka-GE"/>
        </w:rPr>
        <w:t xml:space="preserve"> წლის დეკემბერი) თანდართული სცენარების ანალიზის  დოკუმენტში იდენტიფიცირებული რისკების რეალიზების მაჩვენებლები:</w:t>
      </w:r>
    </w:p>
    <w:tbl>
      <w:tblPr>
        <w:tblStyle w:val="TableGrid"/>
        <w:tblW w:w="5000" w:type="pct"/>
        <w:tblLook w:val="04A0" w:firstRow="1" w:lastRow="0" w:firstColumn="1" w:lastColumn="0" w:noHBand="0" w:noVBand="1"/>
      </w:tblPr>
      <w:tblGrid>
        <w:gridCol w:w="4160"/>
        <w:gridCol w:w="1662"/>
        <w:gridCol w:w="1780"/>
        <w:gridCol w:w="1748"/>
      </w:tblGrid>
      <w:tr w:rsidR="005802BA" w:rsidRPr="00ED5F97" w:rsidTr="00ED5F97">
        <w:trPr>
          <w:trHeight w:val="518"/>
        </w:trPr>
        <w:tc>
          <w:tcPr>
            <w:tcW w:w="2224" w:type="pct"/>
            <w:shd w:val="clear" w:color="auto" w:fill="auto"/>
          </w:tcPr>
          <w:p w:rsidR="005802BA" w:rsidRPr="00ED5F97" w:rsidRDefault="005802BA" w:rsidP="00591E4E">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რისკები</w:t>
            </w:r>
          </w:p>
        </w:tc>
        <w:tc>
          <w:tcPr>
            <w:tcW w:w="889" w:type="pct"/>
            <w:shd w:val="clear" w:color="auto" w:fill="E2EFD9" w:themeFill="accent6" w:themeFillTint="33"/>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არ არის რეალიზებული</w:t>
            </w:r>
          </w:p>
        </w:tc>
        <w:tc>
          <w:tcPr>
            <w:tcW w:w="952" w:type="pct"/>
            <w:shd w:val="clear" w:color="auto" w:fill="FFF2CC" w:themeFill="accent4" w:themeFillTint="33"/>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ნაწილობრივ რეალიზებულია</w:t>
            </w:r>
          </w:p>
        </w:tc>
        <w:tc>
          <w:tcPr>
            <w:tcW w:w="935" w:type="pct"/>
            <w:shd w:val="clear" w:color="auto" w:fill="auto"/>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რეალიზებულია</w:t>
            </w:r>
          </w:p>
        </w:tc>
      </w:tr>
      <w:tr w:rsidR="00DE6541" w:rsidRPr="00ED5F97" w:rsidTr="00ED5F97">
        <w:trPr>
          <w:trHeight w:val="114"/>
        </w:trPr>
        <w:tc>
          <w:tcPr>
            <w:tcW w:w="2224"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ფულადი შემოდინების შემცირება </w:t>
            </w:r>
          </w:p>
        </w:tc>
        <w:tc>
          <w:tcPr>
            <w:tcW w:w="889" w:type="pct"/>
            <w:shd w:val="clear" w:color="auto" w:fill="E2EFD9" w:themeFill="accent6" w:themeFillTint="33"/>
            <w:vAlign w:val="center"/>
          </w:tcPr>
          <w:p w:rsidR="005802BA" w:rsidRPr="00ED5F97" w:rsidRDefault="005802BA" w:rsidP="00DE6541">
            <w:pPr>
              <w:jc w:val="center"/>
              <w:rPr>
                <w:rFonts w:ascii="Sylfaen" w:eastAsia="Calibri" w:hAnsi="Sylfaen" w:cs="Times New Roman"/>
                <w:b/>
                <w:sz w:val="20"/>
                <w:szCs w:val="20"/>
              </w:rPr>
            </w:pPr>
            <w:r w:rsidRPr="00ED5F97">
              <w:rPr>
                <w:rFonts w:ascii="Sylfaen" w:eastAsia="Calibri" w:hAnsi="Sylfaen" w:cs="Times New Roman"/>
                <w:b/>
                <w:sz w:val="20"/>
                <w:szCs w:val="20"/>
              </w:rPr>
              <w:t>X</w:t>
            </w:r>
          </w:p>
        </w:tc>
        <w:tc>
          <w:tcPr>
            <w:tcW w:w="952" w:type="pct"/>
            <w:shd w:val="clear" w:color="auto" w:fill="FFF2CC" w:themeFill="accent4" w:themeFillTint="33"/>
            <w:vAlign w:val="center"/>
          </w:tcPr>
          <w:p w:rsidR="005802BA" w:rsidRPr="00ED5F97" w:rsidRDefault="005802BA" w:rsidP="00DE6541">
            <w:pPr>
              <w:jc w:val="center"/>
              <w:rPr>
                <w:rFonts w:ascii="Sylfaen" w:eastAsia="Calibri" w:hAnsi="Sylfaen" w:cs="Times New Roman"/>
                <w:b/>
                <w:sz w:val="20"/>
                <w:szCs w:val="20"/>
                <w:lang w:val="ka-GE"/>
              </w:rPr>
            </w:pPr>
          </w:p>
        </w:tc>
        <w:tc>
          <w:tcPr>
            <w:tcW w:w="935" w:type="pct"/>
            <w:shd w:val="clear" w:color="auto" w:fill="auto"/>
            <w:vAlign w:val="center"/>
          </w:tcPr>
          <w:p w:rsidR="005802BA" w:rsidRPr="00ED5F97" w:rsidRDefault="005802BA" w:rsidP="00DE6541">
            <w:pPr>
              <w:jc w:val="center"/>
              <w:rPr>
                <w:rFonts w:ascii="Sylfaen" w:eastAsia="Calibri" w:hAnsi="Sylfaen" w:cs="Times New Roman"/>
                <w:b/>
                <w:sz w:val="20"/>
                <w:szCs w:val="20"/>
                <w:lang w:val="ka-GE"/>
              </w:rPr>
            </w:pPr>
          </w:p>
        </w:tc>
      </w:tr>
      <w:tr w:rsidR="00DE6541" w:rsidRPr="00ED5F97" w:rsidTr="00ED5F97">
        <w:trPr>
          <w:trHeight w:val="229"/>
        </w:trPr>
        <w:tc>
          <w:tcPr>
            <w:tcW w:w="2224"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ტურიზმის გლობალური სენტიმენტების გაუარესება</w:t>
            </w:r>
          </w:p>
        </w:tc>
        <w:tc>
          <w:tcPr>
            <w:tcW w:w="889" w:type="pct"/>
            <w:shd w:val="clear" w:color="auto" w:fill="E2EFD9" w:themeFill="accent6" w:themeFillTint="33"/>
            <w:vAlign w:val="center"/>
          </w:tcPr>
          <w:p w:rsidR="005802BA" w:rsidRPr="00ED5F97" w:rsidRDefault="005802BA" w:rsidP="00DE6541">
            <w:pPr>
              <w:jc w:val="center"/>
              <w:rPr>
                <w:rFonts w:ascii="Sylfaen" w:eastAsia="Calibri" w:hAnsi="Sylfaen" w:cs="Times New Roman"/>
                <w:b/>
                <w:sz w:val="20"/>
                <w:szCs w:val="20"/>
              </w:rPr>
            </w:pPr>
            <w:r w:rsidRPr="00ED5F97">
              <w:rPr>
                <w:rFonts w:ascii="Sylfaen" w:eastAsia="Calibri" w:hAnsi="Sylfaen" w:cs="Times New Roman"/>
                <w:b/>
                <w:sz w:val="20"/>
                <w:szCs w:val="20"/>
              </w:rPr>
              <w:t>X</w:t>
            </w:r>
          </w:p>
        </w:tc>
        <w:tc>
          <w:tcPr>
            <w:tcW w:w="952" w:type="pct"/>
            <w:shd w:val="clear" w:color="auto" w:fill="FFF2CC" w:themeFill="accent4" w:themeFillTint="33"/>
            <w:vAlign w:val="center"/>
          </w:tcPr>
          <w:p w:rsidR="005802BA" w:rsidRPr="00ED5F97" w:rsidRDefault="005802BA" w:rsidP="00DE6541">
            <w:pPr>
              <w:jc w:val="center"/>
              <w:rPr>
                <w:rFonts w:ascii="Sylfaen" w:eastAsia="Calibri" w:hAnsi="Sylfaen" w:cs="Times New Roman"/>
                <w:b/>
                <w:sz w:val="20"/>
                <w:szCs w:val="20"/>
                <w:lang w:val="ka-GE"/>
              </w:rPr>
            </w:pPr>
          </w:p>
        </w:tc>
        <w:tc>
          <w:tcPr>
            <w:tcW w:w="935" w:type="pct"/>
            <w:shd w:val="clear" w:color="auto" w:fill="auto"/>
            <w:vAlign w:val="center"/>
          </w:tcPr>
          <w:p w:rsidR="005802BA" w:rsidRPr="00ED5F97" w:rsidRDefault="005802BA" w:rsidP="00DE6541">
            <w:pPr>
              <w:jc w:val="center"/>
              <w:rPr>
                <w:rFonts w:ascii="Sylfaen" w:eastAsia="Calibri" w:hAnsi="Sylfaen" w:cs="Times New Roman"/>
                <w:b/>
                <w:sz w:val="20"/>
                <w:szCs w:val="20"/>
                <w:lang w:val="ka-GE"/>
              </w:rPr>
            </w:pPr>
          </w:p>
        </w:tc>
      </w:tr>
      <w:tr w:rsidR="00DE6541" w:rsidRPr="00ED5F97" w:rsidTr="00ED5F97">
        <w:trPr>
          <w:trHeight w:val="229"/>
        </w:trPr>
        <w:tc>
          <w:tcPr>
            <w:tcW w:w="2224"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გლობალური სავაჭრო ბრუნვის შემცირება </w:t>
            </w:r>
          </w:p>
        </w:tc>
        <w:tc>
          <w:tcPr>
            <w:tcW w:w="889" w:type="pct"/>
            <w:shd w:val="clear" w:color="auto" w:fill="E2EFD9" w:themeFill="accent6" w:themeFillTint="33"/>
            <w:vAlign w:val="center"/>
          </w:tcPr>
          <w:p w:rsidR="005802BA" w:rsidRPr="00ED5F97" w:rsidRDefault="005802BA" w:rsidP="00DE6541">
            <w:pPr>
              <w:jc w:val="center"/>
              <w:rPr>
                <w:rFonts w:ascii="Sylfaen" w:eastAsia="Calibri" w:hAnsi="Sylfaen" w:cs="Times New Roman"/>
                <w:b/>
                <w:sz w:val="20"/>
                <w:szCs w:val="20"/>
              </w:rPr>
            </w:pPr>
          </w:p>
        </w:tc>
        <w:tc>
          <w:tcPr>
            <w:tcW w:w="952" w:type="pct"/>
            <w:shd w:val="clear" w:color="auto" w:fill="FFF2CC" w:themeFill="accent4" w:themeFillTint="33"/>
            <w:vAlign w:val="center"/>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rPr>
              <w:t>X</w:t>
            </w:r>
          </w:p>
        </w:tc>
        <w:tc>
          <w:tcPr>
            <w:tcW w:w="935" w:type="pct"/>
            <w:shd w:val="clear" w:color="auto" w:fill="auto"/>
            <w:vAlign w:val="center"/>
          </w:tcPr>
          <w:p w:rsidR="005802BA" w:rsidRPr="00ED5F97" w:rsidRDefault="005802BA" w:rsidP="00DE6541">
            <w:pPr>
              <w:jc w:val="center"/>
              <w:rPr>
                <w:rFonts w:ascii="Sylfaen" w:eastAsia="Calibri" w:hAnsi="Sylfaen" w:cs="Times New Roman"/>
                <w:b/>
                <w:sz w:val="20"/>
                <w:szCs w:val="20"/>
                <w:lang w:val="ka-GE"/>
              </w:rPr>
            </w:pPr>
          </w:p>
        </w:tc>
      </w:tr>
      <w:tr w:rsidR="00DE6541" w:rsidRPr="00ED5F97" w:rsidTr="00ED5F97">
        <w:trPr>
          <w:trHeight w:val="114"/>
        </w:trPr>
        <w:tc>
          <w:tcPr>
            <w:tcW w:w="2224"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რეგიონული რისკები </w:t>
            </w:r>
          </w:p>
        </w:tc>
        <w:tc>
          <w:tcPr>
            <w:tcW w:w="889" w:type="pct"/>
            <w:shd w:val="clear" w:color="auto" w:fill="E2EFD9" w:themeFill="accent6" w:themeFillTint="33"/>
            <w:vAlign w:val="center"/>
          </w:tcPr>
          <w:p w:rsidR="005802BA" w:rsidRPr="00ED5F97" w:rsidRDefault="005802BA" w:rsidP="00DE6541">
            <w:pPr>
              <w:jc w:val="center"/>
              <w:rPr>
                <w:rFonts w:ascii="Sylfaen" w:eastAsia="Calibri" w:hAnsi="Sylfaen" w:cs="Times New Roman"/>
                <w:b/>
                <w:sz w:val="20"/>
                <w:szCs w:val="20"/>
                <w:lang w:val="ka-GE"/>
              </w:rPr>
            </w:pPr>
          </w:p>
        </w:tc>
        <w:tc>
          <w:tcPr>
            <w:tcW w:w="952" w:type="pct"/>
            <w:shd w:val="clear" w:color="auto" w:fill="FFF2CC" w:themeFill="accent4" w:themeFillTint="33"/>
            <w:vAlign w:val="center"/>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rPr>
              <w:t>X</w:t>
            </w:r>
          </w:p>
        </w:tc>
        <w:tc>
          <w:tcPr>
            <w:tcW w:w="935" w:type="pct"/>
            <w:shd w:val="clear" w:color="auto" w:fill="auto"/>
            <w:vAlign w:val="center"/>
          </w:tcPr>
          <w:p w:rsidR="005802BA" w:rsidRPr="00ED5F97" w:rsidRDefault="005802BA" w:rsidP="00DE6541">
            <w:pPr>
              <w:jc w:val="center"/>
              <w:rPr>
                <w:rFonts w:ascii="Sylfaen" w:eastAsia="Calibri" w:hAnsi="Sylfaen" w:cs="Times New Roman"/>
                <w:b/>
                <w:sz w:val="20"/>
                <w:szCs w:val="20"/>
              </w:rPr>
            </w:pPr>
          </w:p>
        </w:tc>
      </w:tr>
      <w:tr w:rsidR="00DE6541" w:rsidRPr="00ED5F97" w:rsidTr="00ED5F97">
        <w:trPr>
          <w:trHeight w:val="253"/>
        </w:trPr>
        <w:tc>
          <w:tcPr>
            <w:tcW w:w="2224"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გამკაცრებული მონეტარული პოლიტიკის შენარჩუნება</w:t>
            </w:r>
          </w:p>
        </w:tc>
        <w:tc>
          <w:tcPr>
            <w:tcW w:w="889" w:type="pct"/>
            <w:shd w:val="clear" w:color="auto" w:fill="E2EFD9" w:themeFill="accent6" w:themeFillTint="33"/>
            <w:vAlign w:val="center"/>
          </w:tcPr>
          <w:p w:rsidR="005802BA" w:rsidRPr="00ED5F97" w:rsidRDefault="005802BA" w:rsidP="00DE6541">
            <w:pPr>
              <w:jc w:val="center"/>
              <w:rPr>
                <w:rFonts w:ascii="Sylfaen" w:eastAsia="Calibri" w:hAnsi="Sylfaen" w:cs="Times New Roman"/>
                <w:b/>
                <w:sz w:val="20"/>
                <w:szCs w:val="20"/>
                <w:lang w:val="ka-GE"/>
              </w:rPr>
            </w:pPr>
          </w:p>
        </w:tc>
        <w:tc>
          <w:tcPr>
            <w:tcW w:w="952" w:type="pct"/>
            <w:shd w:val="clear" w:color="auto" w:fill="FFF2CC" w:themeFill="accent4" w:themeFillTint="33"/>
            <w:vAlign w:val="center"/>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rPr>
              <w:t>X</w:t>
            </w:r>
          </w:p>
        </w:tc>
        <w:tc>
          <w:tcPr>
            <w:tcW w:w="935" w:type="pct"/>
            <w:shd w:val="clear" w:color="auto" w:fill="auto"/>
            <w:vAlign w:val="center"/>
          </w:tcPr>
          <w:p w:rsidR="005802BA" w:rsidRPr="00ED5F97" w:rsidRDefault="005802BA" w:rsidP="00DE6541">
            <w:pPr>
              <w:jc w:val="center"/>
              <w:rPr>
                <w:rFonts w:ascii="Sylfaen" w:eastAsia="Calibri" w:hAnsi="Sylfaen" w:cs="Times New Roman"/>
                <w:b/>
                <w:sz w:val="20"/>
                <w:szCs w:val="20"/>
              </w:rPr>
            </w:pPr>
          </w:p>
        </w:tc>
      </w:tr>
      <w:tr w:rsidR="00DE6541" w:rsidRPr="00771980" w:rsidTr="00ED5F97">
        <w:trPr>
          <w:trHeight w:val="222"/>
        </w:trPr>
        <w:tc>
          <w:tcPr>
            <w:tcW w:w="2224"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მსოფლიოში ეკონომიკური ზრდის მოსალოდნელი შემცირება </w:t>
            </w:r>
          </w:p>
        </w:tc>
        <w:tc>
          <w:tcPr>
            <w:tcW w:w="889" w:type="pct"/>
            <w:shd w:val="clear" w:color="auto" w:fill="E2EFD9" w:themeFill="accent6" w:themeFillTint="33"/>
            <w:vAlign w:val="center"/>
          </w:tcPr>
          <w:p w:rsidR="005802BA" w:rsidRPr="006935BC" w:rsidRDefault="005802BA" w:rsidP="00DE6541">
            <w:pPr>
              <w:jc w:val="center"/>
              <w:rPr>
                <w:rFonts w:ascii="Sylfaen" w:eastAsia="Calibri" w:hAnsi="Sylfaen" w:cs="Times New Roman"/>
                <w:b/>
                <w:sz w:val="20"/>
                <w:szCs w:val="20"/>
              </w:rPr>
            </w:pPr>
            <w:r w:rsidRPr="00ED5F97">
              <w:rPr>
                <w:rFonts w:ascii="Sylfaen" w:eastAsia="Calibri" w:hAnsi="Sylfaen" w:cs="Times New Roman"/>
                <w:b/>
                <w:sz w:val="20"/>
                <w:szCs w:val="20"/>
              </w:rPr>
              <w:t>X</w:t>
            </w:r>
          </w:p>
        </w:tc>
        <w:tc>
          <w:tcPr>
            <w:tcW w:w="952" w:type="pct"/>
            <w:shd w:val="clear" w:color="auto" w:fill="FFF2CC" w:themeFill="accent4" w:themeFillTint="33"/>
            <w:vAlign w:val="center"/>
          </w:tcPr>
          <w:p w:rsidR="005802BA" w:rsidRPr="006935BC" w:rsidRDefault="005802BA" w:rsidP="00DE6541">
            <w:pPr>
              <w:jc w:val="center"/>
              <w:rPr>
                <w:rFonts w:ascii="Sylfaen" w:eastAsia="Calibri" w:hAnsi="Sylfaen" w:cs="Times New Roman"/>
                <w:b/>
                <w:sz w:val="20"/>
                <w:szCs w:val="20"/>
              </w:rPr>
            </w:pPr>
          </w:p>
        </w:tc>
        <w:tc>
          <w:tcPr>
            <w:tcW w:w="935" w:type="pct"/>
            <w:shd w:val="clear" w:color="auto" w:fill="auto"/>
            <w:vAlign w:val="center"/>
          </w:tcPr>
          <w:p w:rsidR="005802BA" w:rsidRPr="006935BC" w:rsidRDefault="005802BA" w:rsidP="00DE6541">
            <w:pPr>
              <w:jc w:val="center"/>
              <w:rPr>
                <w:rFonts w:ascii="Sylfaen" w:eastAsia="Calibri" w:hAnsi="Sylfaen" w:cs="Times New Roman"/>
                <w:b/>
                <w:sz w:val="20"/>
                <w:szCs w:val="20"/>
                <w:lang w:val="ka-GE"/>
              </w:rPr>
            </w:pPr>
          </w:p>
        </w:tc>
      </w:tr>
    </w:tbl>
    <w:p w:rsidR="00DE6541" w:rsidRDefault="00DE6541"/>
    <w:sectPr w:rsidR="00DE65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22" w:rsidRDefault="00061722" w:rsidP="00ED5F97">
      <w:pPr>
        <w:spacing w:after="0" w:line="240" w:lineRule="auto"/>
      </w:pPr>
      <w:r>
        <w:separator/>
      </w:r>
    </w:p>
  </w:endnote>
  <w:endnote w:type="continuationSeparator" w:id="0">
    <w:p w:rsidR="00061722" w:rsidRDefault="00061722" w:rsidP="00ED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36621"/>
      <w:docPartObj>
        <w:docPartGallery w:val="Page Numbers (Bottom of Page)"/>
        <w:docPartUnique/>
      </w:docPartObj>
    </w:sdtPr>
    <w:sdtEndPr>
      <w:rPr>
        <w:noProof/>
      </w:rPr>
    </w:sdtEndPr>
    <w:sdtContent>
      <w:p w:rsidR="00ED5F97" w:rsidRDefault="00ED5F9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D5F97" w:rsidRDefault="00ED5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22" w:rsidRDefault="00061722" w:rsidP="00ED5F97">
      <w:pPr>
        <w:spacing w:after="0" w:line="240" w:lineRule="auto"/>
      </w:pPr>
      <w:r>
        <w:separator/>
      </w:r>
    </w:p>
  </w:footnote>
  <w:footnote w:type="continuationSeparator" w:id="0">
    <w:p w:rsidR="00061722" w:rsidRDefault="00061722" w:rsidP="00ED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91C88"/>
    <w:multiLevelType w:val="hybridMultilevel"/>
    <w:tmpl w:val="922C413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BA"/>
    <w:rsid w:val="000258A2"/>
    <w:rsid w:val="00045F23"/>
    <w:rsid w:val="00061722"/>
    <w:rsid w:val="00352047"/>
    <w:rsid w:val="00461294"/>
    <w:rsid w:val="005802BA"/>
    <w:rsid w:val="00663BE2"/>
    <w:rsid w:val="00976D09"/>
    <w:rsid w:val="00A46DE7"/>
    <w:rsid w:val="00DE6541"/>
    <w:rsid w:val="00ED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DD8C7-B42C-44EE-B8CB-571EBE98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5802BA"/>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5802BA"/>
  </w:style>
  <w:style w:type="character" w:styleId="CommentReference">
    <w:name w:val="annotation reference"/>
    <w:basedOn w:val="DefaultParagraphFont"/>
    <w:uiPriority w:val="99"/>
    <w:rsid w:val="005802BA"/>
    <w:rPr>
      <w:sz w:val="16"/>
      <w:szCs w:val="16"/>
    </w:rPr>
  </w:style>
  <w:style w:type="paragraph" w:styleId="CommentText">
    <w:name w:val="annotation text"/>
    <w:basedOn w:val="Normal"/>
    <w:link w:val="CommentTextChar"/>
    <w:uiPriority w:val="99"/>
    <w:rsid w:val="005802BA"/>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5802BA"/>
    <w:rPr>
      <w:rFonts w:ascii="Times New Roman" w:eastAsia="Times New Roman" w:hAnsi="Times New Roman" w:cs="Times New Roman"/>
      <w:sz w:val="20"/>
      <w:szCs w:val="20"/>
      <w:lang w:val="ru-RU"/>
    </w:rPr>
  </w:style>
  <w:style w:type="table" w:styleId="TableGrid">
    <w:name w:val="Table Grid"/>
    <w:basedOn w:val="TableNormal"/>
    <w:rsid w:val="0058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02BA"/>
    <w:pPr>
      <w:spacing w:before="100" w:beforeAutospacing="1" w:after="100" w:afterAutospacing="1" w:line="240" w:lineRule="auto"/>
    </w:pPr>
    <w:rPr>
      <w:rFonts w:ascii="Times New Roman" w:hAnsi="Times New Roman" w:cs="Times New Roman"/>
      <w:sz w:val="24"/>
      <w:szCs w:val="24"/>
    </w:rPr>
  </w:style>
  <w:style w:type="paragraph" w:customStyle="1" w:styleId="Caption1">
    <w:name w:val="Caption1"/>
    <w:basedOn w:val="Normal"/>
    <w:next w:val="Normal"/>
    <w:uiPriority w:val="35"/>
    <w:unhideWhenUsed/>
    <w:qFormat/>
    <w:rsid w:val="005802BA"/>
    <w:pPr>
      <w:spacing w:line="240" w:lineRule="auto"/>
    </w:pPr>
    <w:rPr>
      <w:i/>
      <w:iCs/>
      <w:color w:val="44546A"/>
      <w:sz w:val="18"/>
      <w:szCs w:val="18"/>
    </w:rPr>
  </w:style>
  <w:style w:type="paragraph" w:styleId="BalloonText">
    <w:name w:val="Balloon Text"/>
    <w:basedOn w:val="Normal"/>
    <w:link w:val="BalloonTextChar"/>
    <w:uiPriority w:val="99"/>
    <w:semiHidden/>
    <w:unhideWhenUsed/>
    <w:rsid w:val="0058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5F23"/>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45F23"/>
    <w:rPr>
      <w:rFonts w:ascii="Times New Roman" w:eastAsia="Times New Roman" w:hAnsi="Times New Roman" w:cs="Times New Roman"/>
      <w:b/>
      <w:bCs/>
      <w:sz w:val="20"/>
      <w:szCs w:val="20"/>
      <w:lang w:val="ru-RU"/>
    </w:rPr>
  </w:style>
  <w:style w:type="paragraph" w:styleId="Header">
    <w:name w:val="header"/>
    <w:basedOn w:val="Normal"/>
    <w:link w:val="HeaderChar"/>
    <w:uiPriority w:val="99"/>
    <w:unhideWhenUsed/>
    <w:rsid w:val="00ED5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97"/>
  </w:style>
  <w:style w:type="paragraph" w:styleId="Footer">
    <w:name w:val="footer"/>
    <w:basedOn w:val="Normal"/>
    <w:link w:val="FooterChar"/>
    <w:uiPriority w:val="99"/>
    <w:unhideWhenUsed/>
    <w:rsid w:val="00ED5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3</cp:revision>
  <dcterms:created xsi:type="dcterms:W3CDTF">2024-03-27T12:36:00Z</dcterms:created>
  <dcterms:modified xsi:type="dcterms:W3CDTF">2024-03-27T19:07:00Z</dcterms:modified>
</cp:coreProperties>
</file>